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tc>
          <w:tcPr>
            <w:tcW w:w="5495" w:type="dxa"/>
          </w:tcPr>
          <w:p w:rsidR="006B58A3" w:rsidRDefault="004E5FE0">
            <w:pPr>
              <w:widowControl w:val="0"/>
              <w:ind w:right="397"/>
              <w:jc w:val="both"/>
              <w:rPr>
                <w:b/>
                <w:bCs/>
              </w:rPr>
            </w:pPr>
            <w:r>
              <w:rPr>
                <w:b/>
              </w:rPr>
              <w:t>EAST AREA PLANNING COMMITTEE</w:t>
            </w:r>
          </w:p>
        </w:tc>
        <w:tc>
          <w:tcPr>
            <w:tcW w:w="3793" w:type="dxa"/>
          </w:tcPr>
          <w:p w:rsidR="006B58A3" w:rsidRDefault="00BC1A89">
            <w:pPr>
              <w:widowControl w:val="0"/>
              <w:jc w:val="right"/>
            </w:pPr>
            <w:r>
              <w:t>7</w:t>
            </w:r>
            <w:r w:rsidR="006B58A3">
              <w:t xml:space="preserve"> October 2020</w:t>
            </w:r>
          </w:p>
        </w:tc>
      </w:tr>
    </w:tbl>
    <w:p w:rsidR="006B58A3" w:rsidRDefault="006B58A3">
      <w:pPr>
        <w:jc w:val="both"/>
      </w:pPr>
    </w:p>
    <w:tbl>
      <w:tblPr>
        <w:tblW w:w="9288" w:type="dxa"/>
        <w:tblLook w:val="0000" w:firstRow="0" w:lastRow="0" w:firstColumn="0" w:lastColumn="0" w:noHBand="0" w:noVBand="0"/>
      </w:tblPr>
      <w:tblGrid>
        <w:gridCol w:w="2943"/>
        <w:gridCol w:w="2115"/>
        <w:gridCol w:w="1854"/>
        <w:gridCol w:w="2376"/>
      </w:tblGrid>
      <w:tr w:rsidR="006B58A3" w:rsidTr="00EF5488">
        <w:tc>
          <w:tcPr>
            <w:tcW w:w="2943" w:type="dxa"/>
          </w:tcPr>
          <w:p w:rsidR="006B58A3" w:rsidRDefault="006B58A3">
            <w:pPr>
              <w:jc w:val="both"/>
            </w:pPr>
            <w:r>
              <w:rPr>
                <w:b/>
                <w:bCs/>
              </w:rPr>
              <w:t>Application number:</w:t>
            </w:r>
          </w:p>
        </w:tc>
        <w:tc>
          <w:tcPr>
            <w:tcW w:w="6344" w:type="dxa"/>
            <w:gridSpan w:val="3"/>
          </w:tcPr>
          <w:p w:rsidR="006B58A3" w:rsidRDefault="006B58A3">
            <w:pPr>
              <w:jc w:val="both"/>
            </w:pPr>
            <w:r>
              <w:t>20/02019/</w:t>
            </w:r>
            <w:proofErr w:type="spellStart"/>
            <w:r>
              <w:t>TPO</w:t>
            </w:r>
            <w:proofErr w:type="spellEnd"/>
          </w:p>
        </w:tc>
      </w:tr>
      <w:tr w:rsidR="006B58A3" w:rsidTr="00EF5488">
        <w:tc>
          <w:tcPr>
            <w:tcW w:w="2943" w:type="dxa"/>
          </w:tcPr>
          <w:p w:rsidR="006B58A3" w:rsidRDefault="006B58A3">
            <w:pPr>
              <w:jc w:val="both"/>
            </w:pPr>
          </w:p>
        </w:tc>
        <w:tc>
          <w:tcPr>
            <w:tcW w:w="6344" w:type="dxa"/>
            <w:gridSpan w:val="3"/>
          </w:tcPr>
          <w:p w:rsidR="006B58A3" w:rsidRDefault="006B58A3">
            <w:pPr>
              <w:jc w:val="both"/>
            </w:pPr>
          </w:p>
        </w:tc>
      </w:tr>
      <w:tr w:rsidR="006B58A3" w:rsidTr="00EF5488">
        <w:tc>
          <w:tcPr>
            <w:tcW w:w="2943" w:type="dxa"/>
          </w:tcPr>
          <w:p w:rsidR="006B58A3" w:rsidRDefault="006B58A3">
            <w:pPr>
              <w:jc w:val="both"/>
            </w:pPr>
            <w:r>
              <w:rPr>
                <w:b/>
                <w:bCs/>
              </w:rPr>
              <w:t>Decision due by</w:t>
            </w:r>
          </w:p>
        </w:tc>
        <w:tc>
          <w:tcPr>
            <w:tcW w:w="6344" w:type="dxa"/>
            <w:gridSpan w:val="3"/>
          </w:tcPr>
          <w:p w:rsidR="006B58A3" w:rsidRDefault="00BC1A89">
            <w:pPr>
              <w:jc w:val="both"/>
            </w:pPr>
            <w:r>
              <w:t>12</w:t>
            </w:r>
            <w:bookmarkStart w:id="0" w:name="_GoBack"/>
            <w:bookmarkEnd w:id="0"/>
            <w:r w:rsidR="006B58A3">
              <w:t xml:space="preserve"> October 2020</w:t>
            </w:r>
          </w:p>
        </w:tc>
      </w:tr>
      <w:tr w:rsidR="006B58A3" w:rsidTr="00EF5488">
        <w:tc>
          <w:tcPr>
            <w:tcW w:w="2943" w:type="dxa"/>
          </w:tcPr>
          <w:p w:rsidR="006B58A3" w:rsidRDefault="006B58A3">
            <w:pPr>
              <w:jc w:val="both"/>
            </w:pPr>
          </w:p>
        </w:tc>
        <w:tc>
          <w:tcPr>
            <w:tcW w:w="6344" w:type="dxa"/>
            <w:gridSpan w:val="3"/>
          </w:tcPr>
          <w:p w:rsidR="006B58A3" w:rsidRDefault="006B58A3">
            <w:pPr>
              <w:jc w:val="both"/>
            </w:pPr>
          </w:p>
        </w:tc>
      </w:tr>
      <w:tr w:rsidR="006B58A3" w:rsidTr="00EF5488">
        <w:tc>
          <w:tcPr>
            <w:tcW w:w="2943" w:type="dxa"/>
          </w:tcPr>
          <w:p w:rsidR="006B58A3" w:rsidRDefault="006B58A3">
            <w:pPr>
              <w:jc w:val="both"/>
            </w:pPr>
          </w:p>
        </w:tc>
        <w:tc>
          <w:tcPr>
            <w:tcW w:w="6344" w:type="dxa"/>
            <w:gridSpan w:val="3"/>
          </w:tcPr>
          <w:p w:rsidR="006B58A3" w:rsidRDefault="006B58A3">
            <w:pPr>
              <w:jc w:val="both"/>
            </w:pPr>
          </w:p>
        </w:tc>
      </w:tr>
      <w:tr w:rsidR="006B58A3" w:rsidTr="00EF5488">
        <w:tc>
          <w:tcPr>
            <w:tcW w:w="2943" w:type="dxa"/>
          </w:tcPr>
          <w:p w:rsidR="006B58A3" w:rsidRDefault="006B58A3">
            <w:pPr>
              <w:jc w:val="both"/>
              <w:rPr>
                <w:b/>
                <w:bCs/>
              </w:rPr>
            </w:pPr>
            <w:r>
              <w:rPr>
                <w:b/>
                <w:bCs/>
              </w:rPr>
              <w:t>Proposal</w:t>
            </w:r>
          </w:p>
        </w:tc>
        <w:tc>
          <w:tcPr>
            <w:tcW w:w="6344" w:type="dxa"/>
            <w:gridSpan w:val="3"/>
          </w:tcPr>
          <w:p w:rsidR="006B58A3" w:rsidRDefault="00174E23" w:rsidP="00801735">
            <w:pPr>
              <w:jc w:val="both"/>
            </w:pPr>
            <w:r>
              <w:t>Fell</w:t>
            </w:r>
            <w:r w:rsidR="006B58A3">
              <w:t xml:space="preserve"> 2 </w:t>
            </w:r>
            <w:r>
              <w:t>common h</w:t>
            </w:r>
            <w:r w:rsidR="006B58A3">
              <w:t xml:space="preserve">awthorn trees </w:t>
            </w:r>
            <w:r w:rsidR="00801210">
              <w:t xml:space="preserve">located within area A.1 on the Oxford </w:t>
            </w:r>
            <w:r w:rsidR="006B58A3">
              <w:t>City Council</w:t>
            </w:r>
            <w:r w:rsidR="00801210">
              <w:t xml:space="preserve"> -</w:t>
            </w:r>
            <w:r w:rsidR="006B58A3">
              <w:t xml:space="preserve"> </w:t>
            </w:r>
            <w:proofErr w:type="spellStart"/>
            <w:r w:rsidR="006B58A3">
              <w:t>Leafield</w:t>
            </w:r>
            <w:proofErr w:type="spellEnd"/>
            <w:r w:rsidR="006B58A3">
              <w:t xml:space="preserve"> Road (No.1) Tree Preservation Order 2000.</w:t>
            </w:r>
          </w:p>
        </w:tc>
      </w:tr>
      <w:tr w:rsidR="006B58A3" w:rsidTr="00EF5488">
        <w:tc>
          <w:tcPr>
            <w:tcW w:w="2943" w:type="dxa"/>
          </w:tcPr>
          <w:p w:rsidR="006B58A3" w:rsidRDefault="006B58A3">
            <w:pPr>
              <w:jc w:val="both"/>
              <w:rPr>
                <w:b/>
                <w:bCs/>
              </w:rPr>
            </w:pPr>
          </w:p>
        </w:tc>
        <w:tc>
          <w:tcPr>
            <w:tcW w:w="6344" w:type="dxa"/>
            <w:gridSpan w:val="3"/>
          </w:tcPr>
          <w:p w:rsidR="006B58A3" w:rsidRDefault="006B58A3">
            <w:pPr>
              <w:jc w:val="both"/>
            </w:pPr>
          </w:p>
        </w:tc>
      </w:tr>
      <w:tr w:rsidR="006B58A3" w:rsidTr="00EF5488">
        <w:tc>
          <w:tcPr>
            <w:tcW w:w="2943" w:type="dxa"/>
          </w:tcPr>
          <w:p w:rsidR="006B58A3" w:rsidRDefault="006B58A3">
            <w:pPr>
              <w:jc w:val="both"/>
              <w:rPr>
                <w:b/>
                <w:bCs/>
              </w:rPr>
            </w:pPr>
            <w:r>
              <w:rPr>
                <w:b/>
                <w:bCs/>
              </w:rPr>
              <w:t>Site address</w:t>
            </w:r>
          </w:p>
        </w:tc>
        <w:tc>
          <w:tcPr>
            <w:tcW w:w="6344" w:type="dxa"/>
            <w:gridSpan w:val="3"/>
          </w:tcPr>
          <w:p w:rsidR="006B58A3" w:rsidRDefault="006B58A3" w:rsidP="00801210">
            <w:r>
              <w:t xml:space="preserve">26 Badger's Walk, Oxford, OX4 2GW  – see </w:t>
            </w:r>
            <w:r>
              <w:rPr>
                <w:b/>
              </w:rPr>
              <w:t>Appendix 1</w:t>
            </w:r>
            <w:r>
              <w:t xml:space="preserve"> for site plan</w:t>
            </w:r>
          </w:p>
        </w:tc>
      </w:tr>
      <w:tr w:rsidR="006B58A3" w:rsidTr="00EF5488">
        <w:tc>
          <w:tcPr>
            <w:tcW w:w="2943" w:type="dxa"/>
          </w:tcPr>
          <w:p w:rsidR="006B58A3" w:rsidRDefault="006B58A3">
            <w:pPr>
              <w:jc w:val="both"/>
            </w:pPr>
          </w:p>
        </w:tc>
        <w:tc>
          <w:tcPr>
            <w:tcW w:w="6344" w:type="dxa"/>
            <w:gridSpan w:val="3"/>
          </w:tcPr>
          <w:p w:rsidR="006B58A3" w:rsidRDefault="006B58A3">
            <w:pPr>
              <w:jc w:val="both"/>
            </w:pPr>
          </w:p>
        </w:tc>
      </w:tr>
      <w:tr w:rsidR="006B58A3" w:rsidTr="00EF5488">
        <w:tc>
          <w:tcPr>
            <w:tcW w:w="2943" w:type="dxa"/>
          </w:tcPr>
          <w:p w:rsidR="006B58A3" w:rsidRDefault="006B58A3">
            <w:pPr>
              <w:jc w:val="both"/>
              <w:rPr>
                <w:b/>
                <w:bCs/>
              </w:rPr>
            </w:pPr>
            <w:r>
              <w:rPr>
                <w:b/>
                <w:bCs/>
              </w:rPr>
              <w:t>Ward</w:t>
            </w:r>
          </w:p>
        </w:tc>
        <w:tc>
          <w:tcPr>
            <w:tcW w:w="6344" w:type="dxa"/>
            <w:gridSpan w:val="3"/>
          </w:tcPr>
          <w:p w:rsidR="006B58A3" w:rsidRDefault="006B58A3">
            <w:pPr>
              <w:jc w:val="both"/>
            </w:pPr>
            <w:r>
              <w:t>Cowley Marsh Ward</w:t>
            </w:r>
          </w:p>
        </w:tc>
      </w:tr>
      <w:tr w:rsidR="006B58A3" w:rsidTr="00EF5488">
        <w:tc>
          <w:tcPr>
            <w:tcW w:w="2943" w:type="dxa"/>
          </w:tcPr>
          <w:p w:rsidR="006B58A3" w:rsidRDefault="006B58A3">
            <w:pPr>
              <w:jc w:val="both"/>
              <w:rPr>
                <w:b/>
                <w:bCs/>
              </w:rPr>
            </w:pPr>
          </w:p>
        </w:tc>
        <w:tc>
          <w:tcPr>
            <w:tcW w:w="6344" w:type="dxa"/>
            <w:gridSpan w:val="3"/>
          </w:tcPr>
          <w:p w:rsidR="006B58A3" w:rsidRDefault="006B58A3">
            <w:pPr>
              <w:jc w:val="both"/>
            </w:pPr>
          </w:p>
        </w:tc>
      </w:tr>
      <w:tr w:rsidR="006B58A3" w:rsidTr="00EF5488">
        <w:tc>
          <w:tcPr>
            <w:tcW w:w="2943" w:type="dxa"/>
          </w:tcPr>
          <w:p w:rsidR="006B58A3" w:rsidRDefault="006B58A3">
            <w:r>
              <w:rPr>
                <w:b/>
                <w:bCs/>
              </w:rPr>
              <w:t>Agent:</w:t>
            </w:r>
            <w:r>
              <w:t xml:space="preserve"> </w:t>
            </w:r>
          </w:p>
        </w:tc>
        <w:tc>
          <w:tcPr>
            <w:tcW w:w="2115" w:type="dxa"/>
          </w:tcPr>
          <w:p w:rsidR="006B58A3" w:rsidRDefault="006B58A3">
            <w:r>
              <w:t>N/A</w:t>
            </w:r>
          </w:p>
        </w:tc>
        <w:tc>
          <w:tcPr>
            <w:tcW w:w="1854" w:type="dxa"/>
          </w:tcPr>
          <w:p w:rsidR="006B58A3" w:rsidRDefault="006B58A3">
            <w:r>
              <w:rPr>
                <w:b/>
                <w:bCs/>
              </w:rPr>
              <w:t>Applicant:</w:t>
            </w:r>
            <w:r>
              <w:t xml:space="preserve"> </w:t>
            </w:r>
          </w:p>
        </w:tc>
        <w:tc>
          <w:tcPr>
            <w:tcW w:w="2376" w:type="dxa"/>
          </w:tcPr>
          <w:p w:rsidR="006B58A3" w:rsidRDefault="006B58A3">
            <w:r>
              <w:t>Mrs Laura Fowler</w:t>
            </w:r>
          </w:p>
        </w:tc>
      </w:tr>
    </w:tbl>
    <w:p w:rsidR="006B58A3" w:rsidRDefault="006B58A3"/>
    <w:tbl>
      <w:tblPr>
        <w:tblW w:w="9288" w:type="dxa"/>
        <w:tblLayout w:type="fixed"/>
        <w:tblLook w:val="0000" w:firstRow="0" w:lastRow="0" w:firstColumn="0" w:lastColumn="0" w:noHBand="0" w:noVBand="0"/>
      </w:tblPr>
      <w:tblGrid>
        <w:gridCol w:w="2943"/>
        <w:gridCol w:w="6345"/>
      </w:tblGrid>
      <w:tr w:rsidR="006B58A3">
        <w:tc>
          <w:tcPr>
            <w:tcW w:w="2943" w:type="dxa"/>
          </w:tcPr>
          <w:p w:rsidR="006B58A3" w:rsidRDefault="006B58A3">
            <w:pPr>
              <w:rPr>
                <w:b/>
                <w:bCs/>
              </w:rPr>
            </w:pPr>
            <w:r>
              <w:rPr>
                <w:b/>
              </w:rPr>
              <w:t>Reason at Committee</w:t>
            </w:r>
          </w:p>
        </w:tc>
        <w:tc>
          <w:tcPr>
            <w:tcW w:w="6345" w:type="dxa"/>
          </w:tcPr>
          <w:p w:rsidR="006B58A3" w:rsidRDefault="002340D5" w:rsidP="002340D5">
            <w:r>
              <w:t xml:space="preserve">The applicant is the partner of </w:t>
            </w:r>
            <w:r w:rsidR="00801210">
              <w:t xml:space="preserve">a Council employee. </w:t>
            </w:r>
            <w:r w:rsidR="00EF5488" w:rsidRPr="00EF5488">
              <w:t>The Monitoring Officer has reviewed this report</w:t>
            </w:r>
            <w:r w:rsidR="009C68F6">
              <w:t>.</w:t>
            </w:r>
          </w:p>
        </w:tc>
      </w:tr>
    </w:tbl>
    <w:p w:rsidR="006B58A3" w:rsidRDefault="006B58A3">
      <w:pPr>
        <w:pBdr>
          <w:bottom w:val="single" w:sz="4" w:space="1" w:color="auto"/>
        </w:pBdr>
        <w:jc w:val="both"/>
      </w:pPr>
    </w:p>
    <w:p w:rsidR="006B58A3" w:rsidRDefault="006B58A3">
      <w:pPr>
        <w:pStyle w:val="Header"/>
        <w:widowControl w:val="0"/>
        <w:tabs>
          <w:tab w:val="clear" w:pos="4153"/>
          <w:tab w:val="clear" w:pos="8306"/>
        </w:tabs>
        <w:jc w:val="both"/>
      </w:pPr>
    </w:p>
    <w:p w:rsidR="006B58A3" w:rsidRDefault="006B58A3">
      <w:pPr>
        <w:pStyle w:val="HEADINGA"/>
      </w:pPr>
      <w:r>
        <w:t>R</w:t>
      </w:r>
      <w:r w:rsidR="00EF5488">
        <w:t>ecommendation</w:t>
      </w:r>
    </w:p>
    <w:p w:rsidR="006B58A3" w:rsidRDefault="004E5FE0" w:rsidP="00EF5488">
      <w:pPr>
        <w:pStyle w:val="PARAGRAPHA"/>
        <w:ind w:left="567" w:hanging="567"/>
        <w:jc w:val="left"/>
      </w:pPr>
      <w:r>
        <w:t xml:space="preserve">East Area Planning Committee </w:t>
      </w:r>
      <w:r w:rsidR="006B58A3">
        <w:t>is recommended to</w:t>
      </w:r>
      <w:r w:rsidR="00EF5488">
        <w:t xml:space="preserve"> grant </w:t>
      </w:r>
      <w:proofErr w:type="spellStart"/>
      <w:r w:rsidR="00EF5488">
        <w:t>TPO</w:t>
      </w:r>
      <w:proofErr w:type="spellEnd"/>
      <w:r w:rsidR="00EF5488">
        <w:t xml:space="preserve"> consent for the following reasons</w:t>
      </w:r>
      <w:r w:rsidR="006B58A3">
        <w:t>:</w:t>
      </w:r>
    </w:p>
    <w:p w:rsidR="006B58A3" w:rsidRDefault="00EF5488" w:rsidP="00EF5488">
      <w:pPr>
        <w:pStyle w:val="PARAGRAPHB"/>
        <w:numPr>
          <w:ilvl w:val="0"/>
          <w:numId w:val="6"/>
        </w:numPr>
      </w:pPr>
      <w:r>
        <w:t xml:space="preserve">The removal of 2 </w:t>
      </w:r>
      <w:r w:rsidR="00C655F7">
        <w:t xml:space="preserve">common </w:t>
      </w:r>
      <w:r>
        <w:t>hawthorn trees from the rear garden of 26 Badger’s Walk will not be significantly detrimental to public amenity in the area</w:t>
      </w:r>
      <w:r w:rsidR="00E438F3">
        <w:t>.</w:t>
      </w:r>
    </w:p>
    <w:p w:rsidR="006B58A3" w:rsidRDefault="006B58A3"/>
    <w:p w:rsidR="00EF5488" w:rsidRDefault="00EF5488" w:rsidP="00EF5488">
      <w:pPr>
        <w:pStyle w:val="HEADINGA"/>
      </w:pPr>
      <w:r>
        <w:t>Relevant Site History</w:t>
      </w:r>
    </w:p>
    <w:p w:rsidR="00E438F3" w:rsidRPr="00E438F3" w:rsidRDefault="002340D5" w:rsidP="002340D5">
      <w:pPr>
        <w:pStyle w:val="HEADINGA"/>
        <w:numPr>
          <w:ilvl w:val="0"/>
          <w:numId w:val="0"/>
        </w:numPr>
        <w:ind w:left="709" w:hanging="709"/>
        <w:rPr>
          <w:b w:val="0"/>
        </w:rPr>
      </w:pPr>
      <w:r>
        <w:rPr>
          <w:b w:val="0"/>
        </w:rPr>
        <w:t>2.1</w:t>
      </w:r>
      <w:r>
        <w:rPr>
          <w:b w:val="0"/>
        </w:rPr>
        <w:tab/>
      </w:r>
      <w:r>
        <w:rPr>
          <w:b w:val="0"/>
        </w:rPr>
        <w:tab/>
      </w:r>
      <w:r w:rsidR="00E438F3" w:rsidRPr="00E438F3">
        <w:rPr>
          <w:b w:val="0"/>
        </w:rPr>
        <w:t xml:space="preserve">Oxford City Council </w:t>
      </w:r>
      <w:r w:rsidR="00930EA9">
        <w:rPr>
          <w:b w:val="0"/>
        </w:rPr>
        <w:t xml:space="preserve">- </w:t>
      </w:r>
      <w:proofErr w:type="spellStart"/>
      <w:r w:rsidR="00E438F3" w:rsidRPr="00E438F3">
        <w:rPr>
          <w:b w:val="0"/>
        </w:rPr>
        <w:t>Leafield</w:t>
      </w:r>
      <w:proofErr w:type="spellEnd"/>
      <w:r w:rsidR="00E438F3" w:rsidRPr="00E438F3">
        <w:rPr>
          <w:b w:val="0"/>
        </w:rPr>
        <w:t xml:space="preserve"> Road (No.1) Tree Preservation Order 2000</w:t>
      </w:r>
      <w:r w:rsidR="00E438F3">
        <w:rPr>
          <w:b w:val="0"/>
        </w:rPr>
        <w:t>. Confirmed 10 March 2000.</w:t>
      </w:r>
    </w:p>
    <w:p w:rsidR="00E438F3" w:rsidRPr="00E438F3" w:rsidRDefault="002340D5" w:rsidP="002340D5">
      <w:pPr>
        <w:pStyle w:val="HEADINGA"/>
        <w:numPr>
          <w:ilvl w:val="0"/>
          <w:numId w:val="0"/>
        </w:numPr>
        <w:ind w:left="709" w:hanging="709"/>
        <w:rPr>
          <w:b w:val="0"/>
        </w:rPr>
      </w:pPr>
      <w:r>
        <w:rPr>
          <w:b w:val="0"/>
        </w:rPr>
        <w:t>2.2</w:t>
      </w:r>
      <w:r>
        <w:rPr>
          <w:b w:val="0"/>
        </w:rPr>
        <w:tab/>
      </w:r>
      <w:r>
        <w:rPr>
          <w:b w:val="0"/>
        </w:rPr>
        <w:tab/>
      </w:r>
      <w:r w:rsidR="00E438F3" w:rsidRPr="00E438F3">
        <w:rPr>
          <w:b w:val="0"/>
        </w:rPr>
        <w:t>03/02254/</w:t>
      </w:r>
      <w:proofErr w:type="spellStart"/>
      <w:r w:rsidR="00E438F3" w:rsidRPr="00E438F3">
        <w:rPr>
          <w:b w:val="0"/>
        </w:rPr>
        <w:t>FUL</w:t>
      </w:r>
      <w:proofErr w:type="spellEnd"/>
      <w:r w:rsidR="00E438F3" w:rsidRPr="00E438F3">
        <w:rPr>
          <w:b w:val="0"/>
        </w:rPr>
        <w:t xml:space="preserve"> - Erection of 38 dwellings (7x2 bed flats, 12x3 bed, 19x2 bed houses).  New access to </w:t>
      </w:r>
      <w:proofErr w:type="spellStart"/>
      <w:r w:rsidR="00E438F3" w:rsidRPr="00E438F3">
        <w:rPr>
          <w:b w:val="0"/>
        </w:rPr>
        <w:t>Leafield</w:t>
      </w:r>
      <w:proofErr w:type="spellEnd"/>
      <w:r w:rsidR="00E438F3" w:rsidRPr="00E438F3">
        <w:rPr>
          <w:b w:val="0"/>
        </w:rPr>
        <w:t xml:space="preserve"> Road.  Garaging for 5 cars and associated car parking.  Footpath link to</w:t>
      </w:r>
      <w:r>
        <w:rPr>
          <w:b w:val="0"/>
        </w:rPr>
        <w:t xml:space="preserve"> Cowley Marsh. Refused</w:t>
      </w:r>
      <w:r w:rsidR="00E438F3" w:rsidRPr="00E438F3">
        <w:rPr>
          <w:b w:val="0"/>
        </w:rPr>
        <w:t xml:space="preserve"> 7th May 2004. Allowed at Appeal.</w:t>
      </w:r>
    </w:p>
    <w:p w:rsidR="00EF5488" w:rsidRDefault="00EF5488" w:rsidP="00EF5488">
      <w:pPr>
        <w:pStyle w:val="HEADINGA"/>
      </w:pPr>
      <w:r>
        <w:t>Representations Received</w:t>
      </w:r>
    </w:p>
    <w:p w:rsidR="00E438F3" w:rsidRDefault="00E438F3" w:rsidP="00517B25">
      <w:pPr>
        <w:pStyle w:val="PARAGRAPHA"/>
      </w:pPr>
      <w:r w:rsidRPr="00E438F3">
        <w:t>None</w:t>
      </w:r>
    </w:p>
    <w:p w:rsidR="00EF5488" w:rsidRDefault="006B58A3" w:rsidP="00EF5488">
      <w:pPr>
        <w:pStyle w:val="HEADINGA"/>
      </w:pPr>
      <w:r>
        <w:t>S</w:t>
      </w:r>
      <w:r w:rsidR="00EF5488">
        <w:t>ite Description and Proposal</w:t>
      </w:r>
    </w:p>
    <w:p w:rsidR="009C68F6" w:rsidRDefault="00E438F3" w:rsidP="00B82F70">
      <w:pPr>
        <w:pStyle w:val="PARAGRAPHA"/>
      </w:pPr>
      <w:r w:rsidRPr="00E438F3">
        <w:t xml:space="preserve">26 Badger’s Walk is a </w:t>
      </w:r>
      <w:r>
        <w:t>terraced house within a residential development of 38 dwellings on a former allotment site that was allowed at appeal in 2004.</w:t>
      </w:r>
      <w:r w:rsidR="000A70BF">
        <w:t xml:space="preserve"> The rear garden of the property contai</w:t>
      </w:r>
      <w:r w:rsidR="00B82F70">
        <w:t>ns 4</w:t>
      </w:r>
      <w:r w:rsidR="000A70BF">
        <w:t xml:space="preserve"> trees</w:t>
      </w:r>
      <w:r w:rsidR="009C68F6">
        <w:t>;</w:t>
      </w:r>
      <w:r w:rsidR="000A70BF">
        <w:t xml:space="preserve"> including a </w:t>
      </w:r>
      <w:r w:rsidR="00930EA9">
        <w:t xml:space="preserve">large </w:t>
      </w:r>
      <w:r w:rsidR="000A70BF">
        <w:t>mature sycamore</w:t>
      </w:r>
      <w:r w:rsidR="00B82F70">
        <w:t>,</w:t>
      </w:r>
      <w:r w:rsidR="000A70BF">
        <w:t xml:space="preserve"> 2 </w:t>
      </w:r>
      <w:r w:rsidR="00930EA9">
        <w:lastRenderedPageBreak/>
        <w:t xml:space="preserve">smaller </w:t>
      </w:r>
      <w:r w:rsidR="000A70BF">
        <w:t xml:space="preserve">mature </w:t>
      </w:r>
      <w:r w:rsidR="00C655F7">
        <w:t xml:space="preserve">common </w:t>
      </w:r>
      <w:r w:rsidR="000A70BF">
        <w:t>hawthorn trees</w:t>
      </w:r>
      <w:r w:rsidR="00B82F70">
        <w:t>, and an elder</w:t>
      </w:r>
      <w:r w:rsidR="00F470AD">
        <w:t xml:space="preserve"> (the elder </w:t>
      </w:r>
      <w:r w:rsidR="009C68F6">
        <w:t xml:space="preserve">will have grown </w:t>
      </w:r>
      <w:r w:rsidR="00F470AD">
        <w:t xml:space="preserve">after the </w:t>
      </w:r>
      <w:proofErr w:type="spellStart"/>
      <w:r w:rsidR="00F470AD">
        <w:t>TPO</w:t>
      </w:r>
      <w:proofErr w:type="spellEnd"/>
      <w:r w:rsidR="00F470AD">
        <w:t xml:space="preserve"> was made and is therefore not protected)</w:t>
      </w:r>
      <w:r w:rsidR="000A70BF">
        <w:t xml:space="preserve">. </w:t>
      </w:r>
    </w:p>
    <w:p w:rsidR="00E438F3" w:rsidRDefault="000A70BF" w:rsidP="00B82F70">
      <w:pPr>
        <w:pStyle w:val="PARAGRAPHA"/>
      </w:pPr>
      <w:r>
        <w:t xml:space="preserve">It is proposed to remove the 2 </w:t>
      </w:r>
      <w:r w:rsidR="00C655F7">
        <w:t xml:space="preserve">common </w:t>
      </w:r>
      <w:r>
        <w:t>hawthorn trees</w:t>
      </w:r>
      <w:r w:rsidR="002340D5">
        <w:t xml:space="preserve">. The </w:t>
      </w:r>
      <w:r>
        <w:t>reason</w:t>
      </w:r>
      <w:r w:rsidR="002340D5">
        <w:t xml:space="preserve"> </w:t>
      </w:r>
      <w:r w:rsidR="00930EA9">
        <w:t>given</w:t>
      </w:r>
      <w:r w:rsidR="002340D5">
        <w:t xml:space="preserve"> for the proposed works </w:t>
      </w:r>
      <w:r w:rsidR="00801735">
        <w:t xml:space="preserve">is </w:t>
      </w:r>
      <w:r w:rsidR="002340D5">
        <w:t>because of the</w:t>
      </w:r>
      <w:r w:rsidR="00B82F70" w:rsidRPr="00B82F70">
        <w:t xml:space="preserve"> poor location (low amenity value) in </w:t>
      </w:r>
      <w:r w:rsidR="00801735">
        <w:t xml:space="preserve">the </w:t>
      </w:r>
      <w:r w:rsidR="00B82F70" w:rsidRPr="00B82F70">
        <w:t>rear garden</w:t>
      </w:r>
      <w:r w:rsidR="00B82F70">
        <w:t>.</w:t>
      </w:r>
      <w:r w:rsidR="00B82F70" w:rsidRPr="00B82F70">
        <w:t xml:space="preserve"> No replacement trees </w:t>
      </w:r>
      <w:r w:rsidR="002340D5">
        <w:t xml:space="preserve">are proposed </w:t>
      </w:r>
      <w:r w:rsidR="00B82F70" w:rsidRPr="00B82F70">
        <w:t>as it is an unsuitable location</w:t>
      </w:r>
      <w:r w:rsidR="002340D5">
        <w:t xml:space="preserve"> the applicant advises</w:t>
      </w:r>
      <w:r w:rsidR="00B82F70" w:rsidRPr="00B82F70">
        <w:t>.</w:t>
      </w:r>
    </w:p>
    <w:p w:rsidR="00D36CAF" w:rsidRDefault="00D36CAF" w:rsidP="00E438F3">
      <w:pPr>
        <w:pStyle w:val="HEADINGA"/>
      </w:pPr>
      <w:r>
        <w:t>Location Plan</w:t>
      </w:r>
    </w:p>
    <w:p w:rsidR="00D36CAF" w:rsidRDefault="00D36CAF" w:rsidP="00D36CAF">
      <w:pPr>
        <w:pStyle w:val="HEADINGA"/>
        <w:numPr>
          <w:ilvl w:val="0"/>
          <w:numId w:val="0"/>
        </w:numPr>
        <w:ind w:firstLine="426"/>
      </w:pPr>
      <w:r>
        <w:rPr>
          <w:noProof/>
          <w:lang w:eastAsia="en-GB"/>
        </w:rPr>
        <w:drawing>
          <wp:inline distT="0" distB="0" distL="0" distR="0" wp14:anchorId="41A463D5" wp14:editId="0D9BD3BB">
            <wp:extent cx="4763844" cy="2672080"/>
            <wp:effectExtent l="0" t="0" r="0" b="0"/>
            <wp:docPr id="307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Content Placeholder 3"/>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4895" cy="2678279"/>
                    </a:xfrm>
                    <a:prstGeom prst="rect">
                      <a:avLst/>
                    </a:prstGeom>
                    <a:noFill/>
                    <a:ln>
                      <a:noFill/>
                    </a:ln>
                    <a:effectLst/>
                    <a:extLst/>
                  </pic:spPr>
                </pic:pic>
              </a:graphicData>
            </a:graphic>
          </wp:inline>
        </w:drawing>
      </w:r>
    </w:p>
    <w:p w:rsidR="00E438F3" w:rsidRDefault="00E438F3" w:rsidP="00E438F3">
      <w:pPr>
        <w:pStyle w:val="HEADINGA"/>
      </w:pPr>
      <w:r>
        <w:t>Issues</w:t>
      </w:r>
    </w:p>
    <w:p w:rsidR="000A70BF" w:rsidRDefault="00930EA9" w:rsidP="00930EA9">
      <w:pPr>
        <w:pStyle w:val="PARAGRAPHA"/>
      </w:pPr>
      <w:r>
        <w:t xml:space="preserve">The principle determining issue </w:t>
      </w:r>
      <w:r w:rsidR="00801735">
        <w:t>is</w:t>
      </w:r>
      <w:r>
        <w:t xml:space="preserve"> the e</w:t>
      </w:r>
      <w:r w:rsidR="000A70BF">
        <w:t>ffect</w:t>
      </w:r>
      <w:r w:rsidR="000A70BF" w:rsidRPr="000A70BF">
        <w:t xml:space="preserve"> on public amenity</w:t>
      </w:r>
      <w:r>
        <w:t xml:space="preserve"> due to:</w:t>
      </w:r>
    </w:p>
    <w:p w:rsidR="00930EA9" w:rsidRPr="009C68F6" w:rsidRDefault="00930EA9" w:rsidP="00DF7C7E">
      <w:pPr>
        <w:pStyle w:val="HEADINGA"/>
        <w:numPr>
          <w:ilvl w:val="0"/>
          <w:numId w:val="7"/>
        </w:numPr>
        <w:rPr>
          <w:b w:val="0"/>
        </w:rPr>
      </w:pPr>
      <w:r w:rsidRPr="009C68F6">
        <w:rPr>
          <w:b w:val="0"/>
        </w:rPr>
        <w:t>Impact on public views;</w:t>
      </w:r>
    </w:p>
    <w:p w:rsidR="00E438F3" w:rsidRDefault="00E438F3" w:rsidP="00E438F3">
      <w:pPr>
        <w:pStyle w:val="HEADINGA"/>
      </w:pPr>
      <w:r>
        <w:t>Officer Assessment</w:t>
      </w:r>
    </w:p>
    <w:p w:rsidR="004629F9" w:rsidRDefault="00930EA9" w:rsidP="00842E95">
      <w:pPr>
        <w:pStyle w:val="PARAGRAPHA"/>
      </w:pPr>
      <w:r>
        <w:t xml:space="preserve">The </w:t>
      </w:r>
      <w:r w:rsidRPr="00930EA9">
        <w:t>Oxford City Council</w:t>
      </w:r>
      <w:r>
        <w:t xml:space="preserve"> -</w:t>
      </w:r>
      <w:r w:rsidRPr="00930EA9">
        <w:t xml:space="preserve"> </w:t>
      </w:r>
      <w:proofErr w:type="spellStart"/>
      <w:r w:rsidRPr="00930EA9">
        <w:t>Leafield</w:t>
      </w:r>
      <w:proofErr w:type="spellEnd"/>
      <w:r w:rsidRPr="00930EA9">
        <w:t xml:space="preserve"> Road (No.1) Tree Preservation Order 200</w:t>
      </w:r>
      <w:r>
        <w:t xml:space="preserve">0 is an area-type order that gives blanket protection to trees within the residential development of which Badger </w:t>
      </w:r>
      <w:r w:rsidR="00765A91">
        <w:t>Walk</w:t>
      </w:r>
      <w:r>
        <w:t xml:space="preserve"> is a part. </w:t>
      </w:r>
      <w:r w:rsidR="004629F9">
        <w:t>It was made primarily to control site clearance prior to the grant of planning permission for the development that was allowed at appeal.</w:t>
      </w:r>
    </w:p>
    <w:p w:rsidR="007F460A" w:rsidRDefault="004629F9" w:rsidP="00842E95">
      <w:pPr>
        <w:pStyle w:val="PARAGRAPHA"/>
      </w:pPr>
      <w:r>
        <w:t>The order protects trees that are important for public amenity in the area</w:t>
      </w:r>
      <w:r w:rsidR="00C655F7">
        <w:t xml:space="preserve">, </w:t>
      </w:r>
      <w:r>
        <w:t xml:space="preserve">including </w:t>
      </w:r>
      <w:proofErr w:type="gramStart"/>
      <w:r>
        <w:t>a</w:t>
      </w:r>
      <w:proofErr w:type="gramEnd"/>
      <w:r>
        <w:t xml:space="preserve"> </w:t>
      </w:r>
      <w:r w:rsidR="007F460A">
        <w:t xml:space="preserve">liner group of </w:t>
      </w:r>
      <w:r>
        <w:t xml:space="preserve">large sycamore trees that stand alongside </w:t>
      </w:r>
      <w:r w:rsidR="002340D5">
        <w:t xml:space="preserve">the </w:t>
      </w:r>
      <w:r w:rsidR="00C655F7">
        <w:t>br</w:t>
      </w:r>
      <w:r>
        <w:t xml:space="preserve">ook </w:t>
      </w:r>
      <w:r w:rsidR="007F460A">
        <w:t xml:space="preserve">that is </w:t>
      </w:r>
      <w:r w:rsidR="00801735">
        <w:t xml:space="preserve">at the </w:t>
      </w:r>
      <w:r w:rsidR="00174E23">
        <w:t xml:space="preserve">rear of 18-28 Badger </w:t>
      </w:r>
      <w:r w:rsidR="00765A91">
        <w:t>Walk</w:t>
      </w:r>
      <w:r w:rsidR="00174E23">
        <w:t xml:space="preserve"> and </w:t>
      </w:r>
      <w:r w:rsidR="007F460A">
        <w:t xml:space="preserve">adjacent to the </w:t>
      </w:r>
      <w:r>
        <w:t>cycle</w:t>
      </w:r>
      <w:r w:rsidR="007F460A">
        <w:t xml:space="preserve"> path </w:t>
      </w:r>
      <w:r w:rsidR="00174E23">
        <w:t xml:space="preserve">that runs </w:t>
      </w:r>
      <w:r w:rsidR="007F460A">
        <w:t>along the south eastern boundary of Cowley Marsh Recreation Ground</w:t>
      </w:r>
      <w:r w:rsidR="00C655F7">
        <w:t xml:space="preserve">. </w:t>
      </w:r>
      <w:r w:rsidR="007F460A">
        <w:t xml:space="preserve">Collectively, these trees give the </w:t>
      </w:r>
      <w:r w:rsidR="00C655F7">
        <w:t>cycle path a</w:t>
      </w:r>
      <w:r w:rsidR="007F460A">
        <w:t xml:space="preserve"> pleasant wood</w:t>
      </w:r>
      <w:r w:rsidR="00C655F7">
        <w:t xml:space="preserve">ed </w:t>
      </w:r>
      <w:r w:rsidR="007F460A">
        <w:t>character.</w:t>
      </w:r>
    </w:p>
    <w:p w:rsidR="00930EA9" w:rsidRDefault="007F460A" w:rsidP="00842E95">
      <w:pPr>
        <w:pStyle w:val="PARAGRAPHA"/>
      </w:pPr>
      <w:r>
        <w:t xml:space="preserve">However, the order also </w:t>
      </w:r>
      <w:r w:rsidR="00517B25">
        <w:t>protects several</w:t>
      </w:r>
      <w:r>
        <w:t xml:space="preserve"> </w:t>
      </w:r>
      <w:r w:rsidR="009E3BD1">
        <w:t>smaller</w:t>
      </w:r>
      <w:r>
        <w:t xml:space="preserve">, </w:t>
      </w:r>
      <w:r w:rsidR="00517B25">
        <w:t>low</w:t>
      </w:r>
      <w:r>
        <w:t>er</w:t>
      </w:r>
      <w:r w:rsidR="00517B25">
        <w:t xml:space="preserve"> quality and value trees</w:t>
      </w:r>
      <w:r>
        <w:t xml:space="preserve">, </w:t>
      </w:r>
      <w:r w:rsidR="00517B25">
        <w:t xml:space="preserve">which include the </w:t>
      </w:r>
      <w:r w:rsidR="00930EA9">
        <w:t>2</w:t>
      </w:r>
      <w:r w:rsidR="00C655F7">
        <w:t xml:space="preserve"> common</w:t>
      </w:r>
      <w:r w:rsidR="00930EA9">
        <w:t xml:space="preserve"> hawthorn trees t</w:t>
      </w:r>
      <w:r w:rsidR="00517B25">
        <w:t xml:space="preserve">hat it is proposed to remove from the rear garden of 26 Badger’s </w:t>
      </w:r>
      <w:r w:rsidR="00765A91">
        <w:t>Walk</w:t>
      </w:r>
      <w:r w:rsidR="00517B25">
        <w:t>.</w:t>
      </w:r>
      <w:r w:rsidR="00765A91">
        <w:t xml:space="preserve"> Each tree is about 4 metres tall.</w:t>
      </w:r>
      <w:r w:rsidR="00930EA9">
        <w:t xml:space="preserve"> </w:t>
      </w:r>
    </w:p>
    <w:p w:rsidR="009E3BD1" w:rsidRPr="009E3BD1" w:rsidRDefault="009E3BD1" w:rsidP="009E3BD1">
      <w:pPr>
        <w:pStyle w:val="PARAGRAPHA"/>
      </w:pPr>
      <w:r w:rsidRPr="009E3BD1">
        <w:lastRenderedPageBreak/>
        <w:t xml:space="preserve">Common hawthorn trees are generally not very well suited to small domestic gardens because their crowns are </w:t>
      </w:r>
      <w:r>
        <w:t>usually</w:t>
      </w:r>
      <w:r w:rsidRPr="009E3BD1">
        <w:t xml:space="preserve"> dense with branches </w:t>
      </w:r>
      <w:r w:rsidR="00765A91">
        <w:t>which</w:t>
      </w:r>
      <w:r>
        <w:t xml:space="preserve"> have </w:t>
      </w:r>
      <w:r w:rsidR="00765A91">
        <w:t xml:space="preserve">many </w:t>
      </w:r>
      <w:r w:rsidRPr="009E3BD1">
        <w:t>large, sharp spines (thorns</w:t>
      </w:r>
      <w:r w:rsidR="00765A91" w:rsidRPr="009E3BD1">
        <w:t>)</w:t>
      </w:r>
      <w:r w:rsidR="00765A91">
        <w:t xml:space="preserve"> that</w:t>
      </w:r>
      <w:r>
        <w:t xml:space="preserve"> drop onto the ground</w:t>
      </w:r>
      <w:r w:rsidRPr="009E3BD1">
        <w:t>. Although trees of this species flower in spring and produce berries, their ornamental value is</w:t>
      </w:r>
      <w:r>
        <w:t xml:space="preserve"> usually</w:t>
      </w:r>
      <w:r w:rsidRPr="009E3BD1">
        <w:t xml:space="preserve"> relatively low in a garden setting</w:t>
      </w:r>
      <w:r w:rsidR="00765A91">
        <w:t xml:space="preserve"> and they are much better suited to a natural environment location, or rural setting, where they are commonly used in boundary hedgerow planting</w:t>
      </w:r>
      <w:r w:rsidRPr="009E3BD1">
        <w:t>.</w:t>
      </w:r>
      <w:r>
        <w:t xml:space="preserve"> </w:t>
      </w:r>
      <w:r w:rsidR="00F470AD">
        <w:t>Furthermore</w:t>
      </w:r>
      <w:r w:rsidR="00EA25D4">
        <w:t>,</w:t>
      </w:r>
      <w:r w:rsidR="00F470AD">
        <w:t xml:space="preserve"> t</w:t>
      </w:r>
      <w:r>
        <w:t>hese particular 2 trees are not very attractive specimens having rather poor visual form.</w:t>
      </w:r>
    </w:p>
    <w:p w:rsidR="001B6807" w:rsidRDefault="001B6807" w:rsidP="001B6807">
      <w:pPr>
        <w:pStyle w:val="PARAGRAPHA"/>
      </w:pPr>
      <w:r w:rsidRPr="001B6807">
        <w:t xml:space="preserve">Removal of the 2 </w:t>
      </w:r>
      <w:r w:rsidR="00F470AD">
        <w:t>t</w:t>
      </w:r>
      <w:r w:rsidRPr="001B6807">
        <w:t xml:space="preserve">rees </w:t>
      </w:r>
      <w:r>
        <w:t xml:space="preserve">as proposed </w:t>
      </w:r>
      <w:r w:rsidR="002340D5">
        <w:t xml:space="preserve">would </w:t>
      </w:r>
      <w:r w:rsidRPr="001B6807">
        <w:t>not have a significant detrimental effect on public views</w:t>
      </w:r>
      <w:r>
        <w:t xml:space="preserve"> from the cycle path</w:t>
      </w:r>
      <w:r w:rsidR="00F470AD">
        <w:t xml:space="preserve"> at the rear of 26 </w:t>
      </w:r>
      <w:r w:rsidR="00174E23">
        <w:t>B</w:t>
      </w:r>
      <w:r w:rsidR="00F470AD">
        <w:t xml:space="preserve">adger’s </w:t>
      </w:r>
      <w:r w:rsidR="00765A91">
        <w:t>Walk</w:t>
      </w:r>
      <w:r w:rsidR="002340D5">
        <w:t xml:space="preserve"> nor from any other direction such as from within Badgers Walk itself</w:t>
      </w:r>
      <w:r w:rsidRPr="001B6807">
        <w:t>.</w:t>
      </w:r>
      <w:r>
        <w:t xml:space="preserve"> </w:t>
      </w:r>
      <w:r w:rsidR="009E3BD1">
        <w:t>They are relatively small trees</w:t>
      </w:r>
      <w:r w:rsidR="00EA25D4">
        <w:t>,</w:t>
      </w:r>
      <w:r w:rsidR="00765A91">
        <w:t xml:space="preserve"> each being about 4 metres tall, </w:t>
      </w:r>
      <w:r w:rsidR="009E3BD1">
        <w:t xml:space="preserve">and the </w:t>
      </w:r>
      <w:r w:rsidR="00765A91">
        <w:t xml:space="preserve">much </w:t>
      </w:r>
      <w:r>
        <w:t>larger sycamore tree in the same garden</w:t>
      </w:r>
      <w:r w:rsidR="00EA25D4">
        <w:t>, which is more prominent in</w:t>
      </w:r>
      <w:r>
        <w:t xml:space="preserve"> the public views</w:t>
      </w:r>
      <w:r w:rsidR="00EA25D4">
        <w:t>,</w:t>
      </w:r>
      <w:r w:rsidR="009E3BD1">
        <w:t xml:space="preserve"> will be retained</w:t>
      </w:r>
      <w:r w:rsidR="00F470AD">
        <w:t xml:space="preserve"> </w:t>
      </w:r>
      <w:r w:rsidR="00765A91">
        <w:t xml:space="preserve">and together with the many other trees this will </w:t>
      </w:r>
      <w:r w:rsidR="00F470AD">
        <w:t>preserve existing views.</w:t>
      </w:r>
    </w:p>
    <w:p w:rsidR="00B82F70" w:rsidRDefault="007F460A" w:rsidP="00842E95">
      <w:pPr>
        <w:pStyle w:val="PARAGRAPHA"/>
      </w:pPr>
      <w:r>
        <w:t>Hawthorn is a native species tree which flowers and produces berries</w:t>
      </w:r>
      <w:r w:rsidR="00D6289A">
        <w:t xml:space="preserve"> (haws)</w:t>
      </w:r>
      <w:r w:rsidR="00B82F70">
        <w:t xml:space="preserve">, which can be a </w:t>
      </w:r>
      <w:r>
        <w:t>food source for garden birds and pollinating in</w:t>
      </w:r>
      <w:r w:rsidR="00B82F70">
        <w:t>sects</w:t>
      </w:r>
      <w:r>
        <w:t xml:space="preserve">. However, no protected species or habitats will be affected by the removal of these </w:t>
      </w:r>
      <w:r w:rsidR="00B82F70">
        <w:t xml:space="preserve">particular </w:t>
      </w:r>
      <w:r>
        <w:t>2 small trees</w:t>
      </w:r>
      <w:r w:rsidR="00564500">
        <w:t xml:space="preserve">, which will not be significantly detrimental to biodiversity </w:t>
      </w:r>
      <w:r w:rsidR="009C68F6">
        <w:t>or any other ecosystem services in the area</w:t>
      </w:r>
      <w:r w:rsidR="00801735">
        <w:t>.</w:t>
      </w:r>
    </w:p>
    <w:p w:rsidR="001B6807" w:rsidRDefault="001B6807" w:rsidP="00842E95">
      <w:pPr>
        <w:pStyle w:val="PARAGRAPHA"/>
      </w:pPr>
      <w:r>
        <w:t xml:space="preserve"> For these reasons it is consider</w:t>
      </w:r>
      <w:r w:rsidR="00ED2475">
        <w:t>ed</w:t>
      </w:r>
      <w:r>
        <w:t xml:space="preserve"> that the 2 common hawthorn tree</w:t>
      </w:r>
      <w:r w:rsidR="00EA25D4">
        <w:t>s</w:t>
      </w:r>
      <w:r>
        <w:t xml:space="preserve"> </w:t>
      </w:r>
      <w:r w:rsidR="00EA25D4">
        <w:t>have low public amenity value</w:t>
      </w:r>
      <w:r w:rsidR="00894DC5">
        <w:t xml:space="preserve"> and their felling would not be detrimental</w:t>
      </w:r>
      <w:r>
        <w:t xml:space="preserve">. </w:t>
      </w:r>
    </w:p>
    <w:p w:rsidR="00F470AD" w:rsidRDefault="00F470AD" w:rsidP="00842E95">
      <w:pPr>
        <w:pStyle w:val="PARAGRAPHA"/>
      </w:pPr>
      <w:r>
        <w:t>As the impact of removing the 2 common hawthorn trees on public amenity will not be significantly detrimental it is considered that replacement planting is not necessary.</w:t>
      </w:r>
    </w:p>
    <w:p w:rsidR="00E438F3" w:rsidRDefault="00E438F3" w:rsidP="00E438F3">
      <w:pPr>
        <w:pStyle w:val="HEADINGA"/>
      </w:pPr>
      <w:r>
        <w:t>Conclusion</w:t>
      </w:r>
    </w:p>
    <w:p w:rsidR="001B6807" w:rsidRPr="001B6807" w:rsidRDefault="001B6807" w:rsidP="001B6807">
      <w:pPr>
        <w:pStyle w:val="PARAGRAPHA"/>
      </w:pPr>
      <w:r w:rsidRPr="001B6807">
        <w:t>The removal of 2 common hawthorn trees from the rear garden of 26 Badger’s Walk will not be significantly detrimental to public amenity in the area</w:t>
      </w:r>
      <w:r w:rsidR="00894DC5">
        <w:t xml:space="preserve"> and it is recommended that consent to </w:t>
      </w:r>
      <w:r w:rsidR="00801735">
        <w:t>fell these</w:t>
      </w:r>
      <w:r w:rsidR="00894DC5">
        <w:t xml:space="preserve"> trees that are subject to a </w:t>
      </w:r>
      <w:proofErr w:type="spellStart"/>
      <w:r w:rsidR="00894DC5">
        <w:t>TPO</w:t>
      </w:r>
      <w:proofErr w:type="spellEnd"/>
      <w:r w:rsidR="00894DC5">
        <w:t xml:space="preserve"> can be granted</w:t>
      </w:r>
      <w:r w:rsidRPr="001B6807">
        <w:t>.</w:t>
      </w:r>
    </w:p>
    <w:p w:rsidR="006B58A3" w:rsidRDefault="006B58A3">
      <w:pPr>
        <w:pStyle w:val="HEADINGA"/>
      </w:pPr>
      <w:r>
        <w:t>HUMAN RIGHTS ACT 1998</w:t>
      </w:r>
    </w:p>
    <w:p w:rsidR="006B58A3" w:rsidRDefault="006B58A3">
      <w:pPr>
        <w:pStyle w:val="PARAGRAPHA"/>
      </w:pPr>
      <w:r>
        <w:t xml:space="preserve">Officers have considered the implications of the Human Rights Act 1998 in reaching a recommendation to </w:t>
      </w:r>
      <w:r w:rsidR="00876339">
        <w:t xml:space="preserve">grant </w:t>
      </w:r>
      <w:proofErr w:type="spellStart"/>
      <w:r w:rsidR="00876339">
        <w:t>TPO</w:t>
      </w:r>
      <w:proofErr w:type="spellEnd"/>
      <w:r w:rsidR="00876339">
        <w:t xml:space="preserve"> consent</w:t>
      </w:r>
      <w:r>
        <w:t>.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6B58A3" w:rsidRDefault="006B58A3">
      <w:pPr>
        <w:pStyle w:val="HEADINGA"/>
      </w:pPr>
      <w:r>
        <w:t>SECTION 17 OF THE CRIME AND DISORDER ACT 1998</w:t>
      </w:r>
    </w:p>
    <w:p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In reaching a recommendation to grant</w:t>
      </w:r>
      <w:r w:rsidR="00876339">
        <w:t xml:space="preserve"> </w:t>
      </w:r>
      <w:proofErr w:type="spellStart"/>
      <w:r w:rsidR="00876339">
        <w:t>TPO</w:t>
      </w:r>
      <w:proofErr w:type="spellEnd"/>
      <w:r w:rsidR="00876339">
        <w:t xml:space="preserve"> consent</w:t>
      </w:r>
      <w:r>
        <w:t>, officers consider that the proposal will not undermine crime prevention or the promotion of community.</w:t>
      </w:r>
    </w:p>
    <w:sectPr w:rsidR="006B58A3" w:rsidSect="00F911C9">
      <w:footerReference w:type="default" r:id="rId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36" w:rsidRDefault="00EA2636">
      <w:r>
        <w:separator/>
      </w:r>
    </w:p>
  </w:endnote>
  <w:endnote w:type="continuationSeparator" w:id="0">
    <w:p w:rsidR="00EA2636" w:rsidRDefault="00EA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A3" w:rsidRDefault="006B58A3">
    <w:pPr>
      <w:pStyle w:val="Footer"/>
      <w:jc w:val="right"/>
    </w:pPr>
  </w:p>
  <w:p w:rsidR="006B58A3" w:rsidRDefault="006B58A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36" w:rsidRDefault="00EA2636">
      <w:r>
        <w:separator/>
      </w:r>
    </w:p>
  </w:footnote>
  <w:footnote w:type="continuationSeparator" w:id="0">
    <w:p w:rsidR="00EA2636" w:rsidRDefault="00EA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7314943"/>
    <w:multiLevelType w:val="hybridMultilevel"/>
    <w:tmpl w:val="8792773E"/>
    <w:lvl w:ilvl="0" w:tplc="080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 w15:restartNumberingAfterBreak="0">
    <w:nsid w:val="55306B3A"/>
    <w:multiLevelType w:val="hybridMultilevel"/>
    <w:tmpl w:val="18DC05D0"/>
    <w:lvl w:ilvl="0" w:tplc="C8A4F55A">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0"/>
  </w:num>
  <w:num w:numId="4">
    <w:abstractNumId w:val="3"/>
  </w:num>
  <w:num w:numId="5">
    <w:abstractNumId w:val="3"/>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713AC"/>
    <w:rsid w:val="00073CD2"/>
    <w:rsid w:val="000A70BF"/>
    <w:rsid w:val="00102C1D"/>
    <w:rsid w:val="0013054F"/>
    <w:rsid w:val="00174E23"/>
    <w:rsid w:val="001B434B"/>
    <w:rsid w:val="001B6807"/>
    <w:rsid w:val="001D2BF3"/>
    <w:rsid w:val="002340D5"/>
    <w:rsid w:val="00274766"/>
    <w:rsid w:val="002E015F"/>
    <w:rsid w:val="003B04FB"/>
    <w:rsid w:val="003C42F5"/>
    <w:rsid w:val="00425607"/>
    <w:rsid w:val="004629F9"/>
    <w:rsid w:val="00473D55"/>
    <w:rsid w:val="004E5FE0"/>
    <w:rsid w:val="004F5501"/>
    <w:rsid w:val="00516A34"/>
    <w:rsid w:val="00517B25"/>
    <w:rsid w:val="00564500"/>
    <w:rsid w:val="005C0316"/>
    <w:rsid w:val="006247C3"/>
    <w:rsid w:val="00656842"/>
    <w:rsid w:val="00661BBB"/>
    <w:rsid w:val="00693D7E"/>
    <w:rsid w:val="006B47B0"/>
    <w:rsid w:val="006B58A3"/>
    <w:rsid w:val="00765A91"/>
    <w:rsid w:val="007E4EEF"/>
    <w:rsid w:val="007F460A"/>
    <w:rsid w:val="00801210"/>
    <w:rsid w:val="00801735"/>
    <w:rsid w:val="00842E95"/>
    <w:rsid w:val="00871C7E"/>
    <w:rsid w:val="00873A01"/>
    <w:rsid w:val="00876339"/>
    <w:rsid w:val="00894DC5"/>
    <w:rsid w:val="00896B49"/>
    <w:rsid w:val="008B0D69"/>
    <w:rsid w:val="008F1210"/>
    <w:rsid w:val="00930EA9"/>
    <w:rsid w:val="009409CD"/>
    <w:rsid w:val="00971350"/>
    <w:rsid w:val="009C68F6"/>
    <w:rsid w:val="009E3BD1"/>
    <w:rsid w:val="00A127B2"/>
    <w:rsid w:val="00A33492"/>
    <w:rsid w:val="00A72588"/>
    <w:rsid w:val="00AA1EC2"/>
    <w:rsid w:val="00AB55CF"/>
    <w:rsid w:val="00AD36DD"/>
    <w:rsid w:val="00B82F70"/>
    <w:rsid w:val="00BC1A89"/>
    <w:rsid w:val="00C12C06"/>
    <w:rsid w:val="00C16978"/>
    <w:rsid w:val="00C655F7"/>
    <w:rsid w:val="00C91D18"/>
    <w:rsid w:val="00C947C6"/>
    <w:rsid w:val="00D36CAF"/>
    <w:rsid w:val="00D37F74"/>
    <w:rsid w:val="00D6289A"/>
    <w:rsid w:val="00DF7C7E"/>
    <w:rsid w:val="00E438F3"/>
    <w:rsid w:val="00EA25D4"/>
    <w:rsid w:val="00EA2636"/>
    <w:rsid w:val="00ED2475"/>
    <w:rsid w:val="00EE0F27"/>
    <w:rsid w:val="00EF5488"/>
    <w:rsid w:val="00F04585"/>
    <w:rsid w:val="00F470AD"/>
    <w:rsid w:val="00F60EB3"/>
    <w:rsid w:val="00F83AC6"/>
    <w:rsid w:val="00F84CE9"/>
    <w:rsid w:val="00F911C9"/>
    <w:rsid w:val="00FF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B81578-1979-4B1A-BE54-1C931B71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74642">
      <w:marLeft w:val="0"/>
      <w:marRight w:val="0"/>
      <w:marTop w:val="0"/>
      <w:marBottom w:val="0"/>
      <w:divBdr>
        <w:top w:val="none" w:sz="0" w:space="0" w:color="auto"/>
        <w:left w:val="none" w:sz="0" w:space="0" w:color="auto"/>
        <w:bottom w:val="none" w:sz="0" w:space="0" w:color="auto"/>
        <w:right w:val="none" w:sz="0" w:space="0" w:color="auto"/>
      </w:divBdr>
    </w:div>
    <w:div w:id="2119374643">
      <w:marLeft w:val="0"/>
      <w:marRight w:val="0"/>
      <w:marTop w:val="0"/>
      <w:marBottom w:val="0"/>
      <w:divBdr>
        <w:top w:val="none" w:sz="0" w:space="0" w:color="auto"/>
        <w:left w:val="none" w:sz="0" w:space="0" w:color="auto"/>
        <w:bottom w:val="none" w:sz="0" w:space="0" w:color="auto"/>
        <w:right w:val="none" w:sz="0" w:space="0" w:color="auto"/>
      </w:divBdr>
    </w:div>
    <w:div w:id="2119374644">
      <w:marLeft w:val="0"/>
      <w:marRight w:val="0"/>
      <w:marTop w:val="0"/>
      <w:marBottom w:val="0"/>
      <w:divBdr>
        <w:top w:val="none" w:sz="0" w:space="0" w:color="auto"/>
        <w:left w:val="none" w:sz="0" w:space="0" w:color="auto"/>
        <w:bottom w:val="none" w:sz="0" w:space="0" w:color="auto"/>
        <w:right w:val="none" w:sz="0" w:space="0" w:color="auto"/>
      </w:divBdr>
    </w:div>
    <w:div w:id="2119374645">
      <w:marLeft w:val="0"/>
      <w:marRight w:val="0"/>
      <w:marTop w:val="0"/>
      <w:marBottom w:val="0"/>
      <w:divBdr>
        <w:top w:val="none" w:sz="0" w:space="0" w:color="auto"/>
        <w:left w:val="none" w:sz="0" w:space="0" w:color="auto"/>
        <w:bottom w:val="none" w:sz="0" w:space="0" w:color="auto"/>
        <w:right w:val="none" w:sz="0" w:space="0" w:color="auto"/>
      </w:divBdr>
    </w:div>
    <w:div w:id="2119374646">
      <w:marLeft w:val="0"/>
      <w:marRight w:val="0"/>
      <w:marTop w:val="0"/>
      <w:marBottom w:val="0"/>
      <w:divBdr>
        <w:top w:val="none" w:sz="0" w:space="0" w:color="auto"/>
        <w:left w:val="none" w:sz="0" w:space="0" w:color="auto"/>
        <w:bottom w:val="none" w:sz="0" w:space="0" w:color="auto"/>
        <w:right w:val="none" w:sz="0" w:space="0" w:color="auto"/>
      </w:divBdr>
    </w:div>
    <w:div w:id="2119374647">
      <w:marLeft w:val="0"/>
      <w:marRight w:val="0"/>
      <w:marTop w:val="0"/>
      <w:marBottom w:val="0"/>
      <w:divBdr>
        <w:top w:val="none" w:sz="0" w:space="0" w:color="auto"/>
        <w:left w:val="none" w:sz="0" w:space="0" w:color="auto"/>
        <w:bottom w:val="none" w:sz="0" w:space="0" w:color="auto"/>
        <w:right w:val="none" w:sz="0" w:space="0" w:color="auto"/>
      </w:divBdr>
    </w:div>
    <w:div w:id="2119374648">
      <w:marLeft w:val="0"/>
      <w:marRight w:val="0"/>
      <w:marTop w:val="0"/>
      <w:marBottom w:val="0"/>
      <w:divBdr>
        <w:top w:val="none" w:sz="0" w:space="0" w:color="auto"/>
        <w:left w:val="none" w:sz="0" w:space="0" w:color="auto"/>
        <w:bottom w:val="none" w:sz="0" w:space="0" w:color="auto"/>
        <w:right w:val="none" w:sz="0" w:space="0" w:color="auto"/>
      </w:divBdr>
    </w:div>
    <w:div w:id="2119374649">
      <w:marLeft w:val="0"/>
      <w:marRight w:val="0"/>
      <w:marTop w:val="0"/>
      <w:marBottom w:val="0"/>
      <w:divBdr>
        <w:top w:val="none" w:sz="0" w:space="0" w:color="auto"/>
        <w:left w:val="none" w:sz="0" w:space="0" w:color="auto"/>
        <w:bottom w:val="none" w:sz="0" w:space="0" w:color="auto"/>
        <w:right w:val="none" w:sz="0" w:space="0" w:color="auto"/>
      </w:divBdr>
    </w:div>
    <w:div w:id="2119374650">
      <w:marLeft w:val="0"/>
      <w:marRight w:val="0"/>
      <w:marTop w:val="0"/>
      <w:marBottom w:val="0"/>
      <w:divBdr>
        <w:top w:val="none" w:sz="0" w:space="0" w:color="auto"/>
        <w:left w:val="none" w:sz="0" w:space="0" w:color="auto"/>
        <w:bottom w:val="none" w:sz="0" w:space="0" w:color="auto"/>
        <w:right w:val="none" w:sz="0" w:space="0" w:color="auto"/>
      </w:divBdr>
    </w:div>
    <w:div w:id="2119374651">
      <w:marLeft w:val="0"/>
      <w:marRight w:val="0"/>
      <w:marTop w:val="0"/>
      <w:marBottom w:val="0"/>
      <w:divBdr>
        <w:top w:val="none" w:sz="0" w:space="0" w:color="auto"/>
        <w:left w:val="none" w:sz="0" w:space="0" w:color="auto"/>
        <w:bottom w:val="none" w:sz="0" w:space="0" w:color="auto"/>
        <w:right w:val="none" w:sz="0" w:space="0" w:color="auto"/>
      </w:divBdr>
    </w:div>
    <w:div w:id="2119374652">
      <w:marLeft w:val="0"/>
      <w:marRight w:val="0"/>
      <w:marTop w:val="0"/>
      <w:marBottom w:val="0"/>
      <w:divBdr>
        <w:top w:val="none" w:sz="0" w:space="0" w:color="auto"/>
        <w:left w:val="none" w:sz="0" w:space="0" w:color="auto"/>
        <w:bottom w:val="none" w:sz="0" w:space="0" w:color="auto"/>
        <w:right w:val="none" w:sz="0" w:space="0" w:color="auto"/>
      </w:divBdr>
    </w:div>
    <w:div w:id="2119374653">
      <w:marLeft w:val="0"/>
      <w:marRight w:val="0"/>
      <w:marTop w:val="0"/>
      <w:marBottom w:val="0"/>
      <w:divBdr>
        <w:top w:val="none" w:sz="0" w:space="0" w:color="auto"/>
        <w:left w:val="none" w:sz="0" w:space="0" w:color="auto"/>
        <w:bottom w:val="none" w:sz="0" w:space="0" w:color="auto"/>
        <w:right w:val="none" w:sz="0" w:space="0" w:color="auto"/>
      </w:divBdr>
    </w:div>
    <w:div w:id="2119374654">
      <w:marLeft w:val="0"/>
      <w:marRight w:val="0"/>
      <w:marTop w:val="0"/>
      <w:marBottom w:val="0"/>
      <w:divBdr>
        <w:top w:val="none" w:sz="0" w:space="0" w:color="auto"/>
        <w:left w:val="none" w:sz="0" w:space="0" w:color="auto"/>
        <w:bottom w:val="none" w:sz="0" w:space="0" w:color="auto"/>
        <w:right w:val="none" w:sz="0" w:space="0" w:color="auto"/>
      </w:divBdr>
    </w:div>
    <w:div w:id="2119374655">
      <w:marLeft w:val="0"/>
      <w:marRight w:val="0"/>
      <w:marTop w:val="0"/>
      <w:marBottom w:val="0"/>
      <w:divBdr>
        <w:top w:val="none" w:sz="0" w:space="0" w:color="auto"/>
        <w:left w:val="none" w:sz="0" w:space="0" w:color="auto"/>
        <w:bottom w:val="none" w:sz="0" w:space="0" w:color="auto"/>
        <w:right w:val="none" w:sz="0" w:space="0" w:color="auto"/>
      </w:divBdr>
    </w:div>
    <w:div w:id="2119374656">
      <w:marLeft w:val="0"/>
      <w:marRight w:val="0"/>
      <w:marTop w:val="0"/>
      <w:marBottom w:val="0"/>
      <w:divBdr>
        <w:top w:val="none" w:sz="0" w:space="0" w:color="auto"/>
        <w:left w:val="none" w:sz="0" w:space="0" w:color="auto"/>
        <w:bottom w:val="none" w:sz="0" w:space="0" w:color="auto"/>
        <w:right w:val="none" w:sz="0" w:space="0" w:color="auto"/>
      </w:divBdr>
    </w:div>
    <w:div w:id="2119374657">
      <w:marLeft w:val="0"/>
      <w:marRight w:val="0"/>
      <w:marTop w:val="0"/>
      <w:marBottom w:val="0"/>
      <w:divBdr>
        <w:top w:val="none" w:sz="0" w:space="0" w:color="auto"/>
        <w:left w:val="none" w:sz="0" w:space="0" w:color="auto"/>
        <w:bottom w:val="none" w:sz="0" w:space="0" w:color="auto"/>
        <w:right w:val="none" w:sz="0" w:space="0" w:color="auto"/>
      </w:divBdr>
    </w:div>
    <w:div w:id="2119374658">
      <w:marLeft w:val="0"/>
      <w:marRight w:val="0"/>
      <w:marTop w:val="0"/>
      <w:marBottom w:val="0"/>
      <w:divBdr>
        <w:top w:val="none" w:sz="0" w:space="0" w:color="auto"/>
        <w:left w:val="none" w:sz="0" w:space="0" w:color="auto"/>
        <w:bottom w:val="none" w:sz="0" w:space="0" w:color="auto"/>
        <w:right w:val="none" w:sz="0" w:space="0" w:color="auto"/>
      </w:divBdr>
    </w:div>
    <w:div w:id="2119374659">
      <w:marLeft w:val="0"/>
      <w:marRight w:val="0"/>
      <w:marTop w:val="0"/>
      <w:marBottom w:val="0"/>
      <w:divBdr>
        <w:top w:val="none" w:sz="0" w:space="0" w:color="auto"/>
        <w:left w:val="none" w:sz="0" w:space="0" w:color="auto"/>
        <w:bottom w:val="none" w:sz="0" w:space="0" w:color="auto"/>
        <w:right w:val="none" w:sz="0" w:space="0" w:color="auto"/>
      </w:divBdr>
    </w:div>
    <w:div w:id="2119374660">
      <w:marLeft w:val="0"/>
      <w:marRight w:val="0"/>
      <w:marTop w:val="0"/>
      <w:marBottom w:val="0"/>
      <w:divBdr>
        <w:top w:val="none" w:sz="0" w:space="0" w:color="auto"/>
        <w:left w:val="none" w:sz="0" w:space="0" w:color="auto"/>
        <w:bottom w:val="none" w:sz="0" w:space="0" w:color="auto"/>
        <w:right w:val="none" w:sz="0" w:space="0" w:color="auto"/>
      </w:divBdr>
    </w:div>
    <w:div w:id="2119374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7944-3F32-4DBE-96B4-A77CA733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FE77F39B.dotm</Template>
  <TotalTime>6</TotalTime>
  <Pages>3</Pages>
  <Words>982</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THOMPSON Jennifer</cp:lastModifiedBy>
  <cp:revision>3</cp:revision>
  <cp:lastPrinted>2004-03-16T15:29:00Z</cp:lastPrinted>
  <dcterms:created xsi:type="dcterms:W3CDTF">2020-09-28T09:55:00Z</dcterms:created>
  <dcterms:modified xsi:type="dcterms:W3CDTF">2020-09-29T11:18:00Z</dcterms:modified>
</cp:coreProperties>
</file>